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7D91" w14:textId="77777777" w:rsidR="00094C58" w:rsidRDefault="00094C58" w:rsidP="00CD5441">
      <w:pPr>
        <w:rPr>
          <w:rFonts w:ascii="Aptos" w:hAnsi="Aptos"/>
        </w:rPr>
      </w:pPr>
    </w:p>
    <w:p w14:paraId="13AE2B28" w14:textId="77777777" w:rsidR="00633B39" w:rsidRDefault="00633B39" w:rsidP="00CD5441">
      <w:pPr>
        <w:rPr>
          <w:rFonts w:ascii="Aptos" w:hAnsi="Aptos"/>
        </w:rPr>
      </w:pPr>
    </w:p>
    <w:p w14:paraId="575AB908" w14:textId="77777777" w:rsidR="00633B39" w:rsidRDefault="00633B39" w:rsidP="00CD5441">
      <w:pPr>
        <w:rPr>
          <w:rFonts w:ascii="Aptos" w:hAnsi="Aptos"/>
        </w:rPr>
      </w:pPr>
    </w:p>
    <w:p w14:paraId="4BBB481F" w14:textId="1BBA5BA6" w:rsidR="00CD5441" w:rsidRPr="00094C58" w:rsidRDefault="00CD5441" w:rsidP="00CD5441">
      <w:pPr>
        <w:rPr>
          <w:rFonts w:ascii="Aptos" w:hAnsi="Aptos"/>
        </w:rPr>
      </w:pPr>
      <w:r w:rsidRPr="00094C58">
        <w:rPr>
          <w:rFonts w:ascii="Aptos" w:hAnsi="Aptos"/>
        </w:rPr>
        <w:t>Dear (Manager, Administrative Executive, etc.):</w:t>
      </w:r>
    </w:p>
    <w:p w14:paraId="6ACAA9F2" w14:textId="77777777" w:rsidR="00CD5441" w:rsidRPr="00094C58" w:rsidRDefault="00CD5441" w:rsidP="00CD5441">
      <w:pPr>
        <w:rPr>
          <w:rFonts w:ascii="Aptos" w:hAnsi="Aptos"/>
        </w:rPr>
      </w:pPr>
    </w:p>
    <w:p w14:paraId="7BE69D33" w14:textId="3C353326" w:rsidR="00CD5441" w:rsidRPr="00094C58" w:rsidRDefault="00CD5441" w:rsidP="00CD5441">
      <w:pPr>
        <w:rPr>
          <w:rFonts w:ascii="Aptos" w:hAnsi="Aptos"/>
          <w:b/>
        </w:rPr>
      </w:pPr>
      <w:r w:rsidRPr="00094C58">
        <w:rPr>
          <w:rFonts w:ascii="Aptos" w:hAnsi="Aptos"/>
          <w:b/>
        </w:rPr>
        <w:t>SUBJECT: CAMDR Biennial Conference Value Letter</w:t>
      </w:r>
    </w:p>
    <w:p w14:paraId="5929AA22" w14:textId="77777777" w:rsidR="00CD5441" w:rsidRPr="00094C58" w:rsidRDefault="00CD5441" w:rsidP="00CD5441">
      <w:pPr>
        <w:rPr>
          <w:rFonts w:ascii="Aptos" w:hAnsi="Aptos"/>
        </w:rPr>
      </w:pPr>
    </w:p>
    <w:p w14:paraId="051B4B2F" w14:textId="77777777" w:rsidR="00094C58" w:rsidRDefault="00094C58" w:rsidP="00094C58">
      <w:pPr>
        <w:rPr>
          <w:rFonts w:ascii="Aptos" w:hAnsi="Aptos"/>
        </w:rPr>
      </w:pPr>
    </w:p>
    <w:p w14:paraId="2E70B6E4" w14:textId="1EA157D5" w:rsidR="00CD5441" w:rsidRPr="00094C58" w:rsidRDefault="00CD5441" w:rsidP="00094C58">
      <w:pPr>
        <w:rPr>
          <w:rFonts w:ascii="Aptos" w:hAnsi="Aptos"/>
        </w:rPr>
      </w:pPr>
      <w:r w:rsidRPr="00094C58">
        <w:rPr>
          <w:rFonts w:ascii="Aptos" w:hAnsi="Aptos"/>
        </w:rPr>
        <w:t>Continuing education is essential for promoting quality, safety, process, consistency, and professionalism in Medical Device Reprocessing Department</w:t>
      </w:r>
      <w:r w:rsidR="00100875">
        <w:rPr>
          <w:rFonts w:ascii="Aptos" w:hAnsi="Aptos"/>
        </w:rPr>
        <w:t>s</w:t>
      </w:r>
      <w:r w:rsidRPr="00094C58">
        <w:rPr>
          <w:rFonts w:ascii="Aptos" w:hAnsi="Aptos"/>
        </w:rPr>
        <w:t xml:space="preserve">.  </w:t>
      </w:r>
      <w:r w:rsidR="00094C58" w:rsidRPr="00094C58">
        <w:rPr>
          <w:rFonts w:ascii="Aptos" w:hAnsi="Aptos"/>
        </w:rPr>
        <w:t xml:space="preserve">Medical Device Reprocessing </w:t>
      </w:r>
      <w:r w:rsidR="00094C58">
        <w:rPr>
          <w:rFonts w:ascii="Aptos" w:hAnsi="Aptos"/>
        </w:rPr>
        <w:t>(</w:t>
      </w:r>
      <w:r w:rsidRPr="00094C58">
        <w:rPr>
          <w:rFonts w:ascii="Aptos" w:hAnsi="Aptos"/>
        </w:rPr>
        <w:t>MDR</w:t>
      </w:r>
      <w:r w:rsidR="00094C58">
        <w:rPr>
          <w:rFonts w:ascii="Aptos" w:hAnsi="Aptos"/>
        </w:rPr>
        <w:t>)</w:t>
      </w:r>
      <w:r w:rsidRPr="00094C58">
        <w:rPr>
          <w:rFonts w:ascii="Aptos" w:hAnsi="Aptos"/>
        </w:rPr>
        <w:t xml:space="preserve"> professionals are regularly face</w:t>
      </w:r>
      <w:r w:rsidR="00D54C1B" w:rsidRPr="00094C58">
        <w:rPr>
          <w:rFonts w:ascii="Aptos" w:hAnsi="Aptos"/>
        </w:rPr>
        <w:t>d</w:t>
      </w:r>
      <w:r w:rsidRPr="00094C58">
        <w:rPr>
          <w:rFonts w:ascii="Aptos" w:hAnsi="Aptos"/>
        </w:rPr>
        <w:t xml:space="preserve"> with c</w:t>
      </w:r>
      <w:r w:rsidR="00D54C1B" w:rsidRPr="00094C58">
        <w:rPr>
          <w:rFonts w:ascii="Aptos" w:hAnsi="Aptos"/>
        </w:rPr>
        <w:t>omplex</w:t>
      </w:r>
      <w:r w:rsidRPr="00094C58">
        <w:rPr>
          <w:rFonts w:ascii="Aptos" w:hAnsi="Aptos"/>
        </w:rPr>
        <w:t xml:space="preserve"> surgical instrumentation as well as advanced processing equipment.  The latest standards and best practices help to ensure</w:t>
      </w:r>
      <w:r w:rsidR="00100875">
        <w:rPr>
          <w:rFonts w:ascii="Aptos" w:hAnsi="Aptos"/>
        </w:rPr>
        <w:t xml:space="preserve"> that</w:t>
      </w:r>
      <w:r w:rsidRPr="00094C58">
        <w:rPr>
          <w:rFonts w:ascii="Aptos" w:hAnsi="Aptos"/>
        </w:rPr>
        <w:t xml:space="preserve"> patient safety, infection prevention, and exemplary customer service remain a top priority.</w:t>
      </w:r>
    </w:p>
    <w:p w14:paraId="352508D1" w14:textId="77777777" w:rsidR="00CD5441" w:rsidRPr="00094C58" w:rsidRDefault="00CD5441" w:rsidP="00094C58">
      <w:pPr>
        <w:rPr>
          <w:rFonts w:ascii="Aptos" w:hAnsi="Aptos"/>
        </w:rPr>
      </w:pPr>
    </w:p>
    <w:p w14:paraId="68D01868" w14:textId="08BD0C0B" w:rsidR="00CD5441" w:rsidRPr="00094C58" w:rsidRDefault="00254B4E" w:rsidP="00094C58">
      <w:pPr>
        <w:rPr>
          <w:rFonts w:ascii="Aptos" w:hAnsi="Aptos"/>
        </w:rPr>
      </w:pPr>
      <w:r w:rsidRPr="00094C58">
        <w:rPr>
          <w:rFonts w:ascii="Aptos" w:hAnsi="Aptos"/>
        </w:rPr>
        <w:t>The 20</w:t>
      </w:r>
      <w:r w:rsidR="00666EFC" w:rsidRPr="00094C58">
        <w:rPr>
          <w:rFonts w:ascii="Aptos" w:hAnsi="Aptos"/>
        </w:rPr>
        <w:t>2</w:t>
      </w:r>
      <w:r w:rsidR="005A63BF" w:rsidRPr="00094C58">
        <w:rPr>
          <w:rFonts w:ascii="Aptos" w:hAnsi="Aptos"/>
        </w:rPr>
        <w:t>6</w:t>
      </w:r>
      <w:r w:rsidR="00CD5441" w:rsidRPr="00094C58">
        <w:rPr>
          <w:rFonts w:ascii="Aptos" w:hAnsi="Aptos"/>
        </w:rPr>
        <w:t xml:space="preserve"> CAMDR Biennial Conference</w:t>
      </w:r>
      <w:r w:rsidR="005A63BF" w:rsidRPr="00094C58">
        <w:rPr>
          <w:rFonts w:ascii="Aptos" w:hAnsi="Aptos"/>
        </w:rPr>
        <w:t>, “Navigating the Waters: Steering Through the MDR Compliance Challenges</w:t>
      </w:r>
      <w:r w:rsidR="00953927" w:rsidRPr="00094C58">
        <w:rPr>
          <w:rFonts w:ascii="Aptos" w:hAnsi="Aptos"/>
        </w:rPr>
        <w:t>”</w:t>
      </w:r>
      <w:r w:rsidR="00CD5441" w:rsidRPr="00094C58">
        <w:rPr>
          <w:rFonts w:ascii="Aptos" w:hAnsi="Aptos"/>
        </w:rPr>
        <w:t xml:space="preserve"> will address each of these challenges.  Hundreds of MDR professionals from Canada attend this leading educational conference.  Over the course of several days, MDR professionals of all backgrounds and experience levels are educated on a wide array of timely and pertinent subjects impacting the </w:t>
      </w:r>
      <w:r w:rsidR="00953927" w:rsidRPr="00094C58">
        <w:rPr>
          <w:rFonts w:ascii="Aptos" w:hAnsi="Aptos"/>
        </w:rPr>
        <w:t>discipline and</w:t>
      </w:r>
      <w:r w:rsidR="00CD5441" w:rsidRPr="00094C58">
        <w:rPr>
          <w:rFonts w:ascii="Aptos" w:hAnsi="Aptos"/>
        </w:rPr>
        <w:t xml:space="preserve"> are given the tools they need to immediately apply valuable, practical knowledge in their respective departments.  </w:t>
      </w:r>
    </w:p>
    <w:p w14:paraId="12454FDC" w14:textId="77777777" w:rsidR="00CD5441" w:rsidRPr="00094C58" w:rsidRDefault="00CD5441" w:rsidP="00094C58">
      <w:pPr>
        <w:rPr>
          <w:rFonts w:ascii="Aptos" w:hAnsi="Aptos"/>
        </w:rPr>
      </w:pPr>
    </w:p>
    <w:p w14:paraId="08156AFD" w14:textId="3E0D24E3" w:rsidR="00CD5441" w:rsidRPr="00094C58" w:rsidRDefault="00CD5441" w:rsidP="00094C58">
      <w:pPr>
        <w:rPr>
          <w:rFonts w:ascii="Aptos" w:hAnsi="Aptos"/>
        </w:rPr>
      </w:pPr>
      <w:r w:rsidRPr="00094C58">
        <w:rPr>
          <w:rFonts w:ascii="Aptos" w:hAnsi="Aptos"/>
        </w:rPr>
        <w:t xml:space="preserve">The biennial conference will feature </w:t>
      </w:r>
      <w:r w:rsidR="00554DE0">
        <w:rPr>
          <w:rFonts w:ascii="Aptos" w:hAnsi="Aptos"/>
        </w:rPr>
        <w:t>educational lectures</w:t>
      </w:r>
      <w:r w:rsidRPr="00094C58">
        <w:rPr>
          <w:rFonts w:ascii="Aptos" w:hAnsi="Aptos"/>
        </w:rPr>
        <w:t xml:space="preserve">, informative exhibits, learning annexes, and a number of networking opportunities that </w:t>
      </w:r>
      <w:r w:rsidR="00094C58" w:rsidRPr="00094C58">
        <w:rPr>
          <w:rFonts w:ascii="Aptos" w:hAnsi="Aptos"/>
        </w:rPr>
        <w:t>allow</w:t>
      </w:r>
      <w:r w:rsidRPr="00094C58">
        <w:rPr>
          <w:rFonts w:ascii="Aptos" w:hAnsi="Aptos"/>
        </w:rPr>
        <w:t xml:space="preserve"> attendees to share insights and best practices with peers, and gather useful information from leading industry experts.</w:t>
      </w:r>
    </w:p>
    <w:p w14:paraId="1D4844E7" w14:textId="77777777" w:rsidR="00434967" w:rsidRPr="00094C58" w:rsidRDefault="00434967" w:rsidP="00094C58">
      <w:pPr>
        <w:rPr>
          <w:rFonts w:ascii="Aptos" w:hAnsi="Aptos"/>
        </w:rPr>
      </w:pPr>
    </w:p>
    <w:p w14:paraId="3F9C7697" w14:textId="0788F9BF" w:rsidR="00CD5441" w:rsidRPr="00094C58" w:rsidRDefault="00CD5441" w:rsidP="00094C58">
      <w:pPr>
        <w:rPr>
          <w:rFonts w:ascii="Aptos" w:hAnsi="Aptos"/>
        </w:rPr>
      </w:pPr>
      <w:r w:rsidRPr="00094C58">
        <w:rPr>
          <w:rFonts w:ascii="Aptos" w:hAnsi="Aptos"/>
        </w:rPr>
        <w:t>I believe many of these sessions will be of significant interest/benefit to our department.  I also welcome additional suggestions to help make the most of my attendance.  I hope you will agree that</w:t>
      </w:r>
      <w:r w:rsidR="00254B4E" w:rsidRPr="00094C58">
        <w:rPr>
          <w:rFonts w:ascii="Aptos" w:hAnsi="Aptos"/>
        </w:rPr>
        <w:t xml:space="preserve"> my attendance at the CAMDR 20</w:t>
      </w:r>
      <w:r w:rsidR="00666EFC" w:rsidRPr="00094C58">
        <w:rPr>
          <w:rFonts w:ascii="Aptos" w:hAnsi="Aptos"/>
        </w:rPr>
        <w:t>2</w:t>
      </w:r>
      <w:r w:rsidR="005A63BF" w:rsidRPr="00094C58">
        <w:rPr>
          <w:rFonts w:ascii="Aptos" w:hAnsi="Aptos"/>
        </w:rPr>
        <w:t>6</w:t>
      </w:r>
      <w:r w:rsidRPr="00094C58">
        <w:rPr>
          <w:rFonts w:ascii="Aptos" w:hAnsi="Aptos"/>
        </w:rPr>
        <w:t xml:space="preserve"> Conference will be of great value to </w:t>
      </w:r>
      <w:r w:rsidR="00100875">
        <w:rPr>
          <w:rFonts w:ascii="Aptos" w:hAnsi="Aptos"/>
        </w:rPr>
        <w:t>our</w:t>
      </w:r>
      <w:r w:rsidRPr="00094C58">
        <w:rPr>
          <w:rFonts w:ascii="Aptos" w:hAnsi="Aptos"/>
        </w:rPr>
        <w:t xml:space="preserve"> department and the customers we serve.  Please let me know if you have any questions or </w:t>
      </w:r>
      <w:r w:rsidR="005A63BF" w:rsidRPr="00094C58">
        <w:rPr>
          <w:rFonts w:ascii="Aptos" w:hAnsi="Aptos"/>
        </w:rPr>
        <w:t>concerns or</w:t>
      </w:r>
      <w:r w:rsidRPr="00094C58">
        <w:rPr>
          <w:rFonts w:ascii="Aptos" w:hAnsi="Aptos"/>
        </w:rPr>
        <w:t xml:space="preserve"> require additional information.</w:t>
      </w:r>
    </w:p>
    <w:p w14:paraId="707E65A8" w14:textId="77777777" w:rsidR="00CD5441" w:rsidRPr="00094C58" w:rsidRDefault="00CD5441" w:rsidP="00094C58">
      <w:pPr>
        <w:rPr>
          <w:rFonts w:ascii="Aptos" w:hAnsi="Aptos"/>
        </w:rPr>
      </w:pPr>
    </w:p>
    <w:p w14:paraId="3C0EBFF7" w14:textId="77777777" w:rsidR="00CD5441" w:rsidRPr="00094C58" w:rsidRDefault="00CD5441" w:rsidP="00094C58">
      <w:pPr>
        <w:rPr>
          <w:rFonts w:ascii="Aptos" w:hAnsi="Aptos"/>
        </w:rPr>
      </w:pPr>
      <w:r w:rsidRPr="00094C58">
        <w:rPr>
          <w:rFonts w:ascii="Aptos" w:hAnsi="Aptos"/>
        </w:rPr>
        <w:t>I have included a document with an expense breakdown for your review. Thank you for considering my request, and I look forward to discussing the opportunity further.</w:t>
      </w:r>
    </w:p>
    <w:p w14:paraId="1CE729CB" w14:textId="77777777" w:rsidR="00CD5441" w:rsidRPr="00094C58" w:rsidRDefault="00CD5441" w:rsidP="00094C58">
      <w:pPr>
        <w:rPr>
          <w:rFonts w:ascii="Aptos" w:hAnsi="Aptos"/>
        </w:rPr>
      </w:pPr>
    </w:p>
    <w:p w14:paraId="6B3B1A06" w14:textId="77777777" w:rsidR="00CD5441" w:rsidRPr="00094C58" w:rsidRDefault="00CD5441" w:rsidP="00094C58">
      <w:pPr>
        <w:rPr>
          <w:rFonts w:ascii="Aptos" w:hAnsi="Aptos"/>
        </w:rPr>
      </w:pPr>
      <w:r w:rsidRPr="00094C58">
        <w:rPr>
          <w:rFonts w:ascii="Aptos" w:hAnsi="Aptos"/>
        </w:rPr>
        <w:t>Thank you for your time and consideration.</w:t>
      </w:r>
    </w:p>
    <w:p w14:paraId="55624ABE" w14:textId="77777777" w:rsidR="00CD5441" w:rsidRPr="00094C58" w:rsidRDefault="00CD5441" w:rsidP="00CD5441">
      <w:pPr>
        <w:rPr>
          <w:rFonts w:ascii="Aptos" w:hAnsi="Aptos"/>
        </w:rPr>
      </w:pPr>
    </w:p>
    <w:p w14:paraId="36DA50E3" w14:textId="77777777" w:rsidR="00CD5441" w:rsidRPr="00094C58" w:rsidRDefault="00CD5441" w:rsidP="00CD5441">
      <w:pPr>
        <w:rPr>
          <w:rFonts w:ascii="Aptos" w:hAnsi="Aptos"/>
        </w:rPr>
      </w:pPr>
      <w:r w:rsidRPr="00094C58">
        <w:rPr>
          <w:rFonts w:ascii="Aptos" w:hAnsi="Aptos"/>
        </w:rPr>
        <w:t>Sincerely,</w:t>
      </w:r>
    </w:p>
    <w:p w14:paraId="705DE396" w14:textId="77777777" w:rsidR="00CD5441" w:rsidRPr="00094C58" w:rsidRDefault="00CD5441" w:rsidP="00CD5441">
      <w:pPr>
        <w:rPr>
          <w:rFonts w:ascii="Aptos" w:hAnsi="Aptos"/>
          <w:noProof/>
        </w:rPr>
      </w:pPr>
    </w:p>
    <w:p w14:paraId="5CF0EA80" w14:textId="77777777" w:rsidR="00CD5441" w:rsidRPr="00094C58" w:rsidRDefault="00CD5441" w:rsidP="00CD5441">
      <w:pPr>
        <w:rPr>
          <w:rFonts w:ascii="Aptos" w:hAnsi="Aptos"/>
          <w:noProof/>
        </w:rPr>
      </w:pPr>
      <w:r w:rsidRPr="00094C58">
        <w:rPr>
          <w:rFonts w:ascii="Aptos" w:hAnsi="Aptos"/>
          <w:noProof/>
        </w:rPr>
        <w:t>(Signature)</w:t>
      </w:r>
    </w:p>
    <w:p w14:paraId="216117D4" w14:textId="77777777" w:rsidR="00CD5441" w:rsidRPr="00094C58" w:rsidRDefault="00CD5441" w:rsidP="00CD5441">
      <w:pPr>
        <w:rPr>
          <w:rFonts w:ascii="Aptos" w:hAnsi="Aptos"/>
        </w:rPr>
      </w:pPr>
    </w:p>
    <w:p w14:paraId="24DBE600" w14:textId="77777777" w:rsidR="00CD5441" w:rsidRPr="00094C58" w:rsidRDefault="00CD5441" w:rsidP="00CD5441">
      <w:pPr>
        <w:rPr>
          <w:rFonts w:ascii="Aptos" w:hAnsi="Aptos"/>
        </w:rPr>
      </w:pPr>
      <w:r w:rsidRPr="00094C58">
        <w:rPr>
          <w:rFonts w:ascii="Aptos" w:hAnsi="Aptos"/>
        </w:rPr>
        <w:t>(Name)</w:t>
      </w:r>
    </w:p>
    <w:p w14:paraId="23135A81" w14:textId="77777777" w:rsidR="00CD5441" w:rsidRPr="00094C58" w:rsidRDefault="00CD5441" w:rsidP="00CD5441">
      <w:pPr>
        <w:rPr>
          <w:rFonts w:ascii="Aptos" w:hAnsi="Aptos"/>
          <w:szCs w:val="28"/>
        </w:rPr>
      </w:pPr>
    </w:p>
    <w:p w14:paraId="3883CBCC" w14:textId="77777777" w:rsidR="00CD5441" w:rsidRPr="00094C58" w:rsidRDefault="00CD5441" w:rsidP="00CD5441">
      <w:pPr>
        <w:rPr>
          <w:rFonts w:ascii="Aptos" w:hAnsi="Aptos"/>
          <w:szCs w:val="28"/>
        </w:rPr>
      </w:pPr>
    </w:p>
    <w:p w14:paraId="332E2F25" w14:textId="77777777" w:rsidR="00CD5441" w:rsidRPr="00094C58" w:rsidRDefault="00CD5441" w:rsidP="00CD5441">
      <w:pPr>
        <w:rPr>
          <w:rFonts w:ascii="Aptos" w:hAnsi="Aptos"/>
          <w:szCs w:val="28"/>
        </w:rPr>
      </w:pPr>
    </w:p>
    <w:p w14:paraId="0DD376B6" w14:textId="77777777" w:rsidR="00CD5441" w:rsidRPr="00094C58" w:rsidRDefault="00CD5441" w:rsidP="00CD5441">
      <w:pPr>
        <w:rPr>
          <w:rFonts w:ascii="Aptos" w:hAnsi="Aptos"/>
          <w:szCs w:val="28"/>
        </w:rPr>
      </w:pPr>
    </w:p>
    <w:p w14:paraId="047DD68C" w14:textId="77777777" w:rsidR="00CD5441" w:rsidRPr="00094C58" w:rsidRDefault="00CD5441" w:rsidP="00CD5441">
      <w:pPr>
        <w:rPr>
          <w:rFonts w:ascii="Aptos" w:hAnsi="Aptos"/>
          <w:szCs w:val="28"/>
        </w:rPr>
      </w:pPr>
    </w:p>
    <w:p w14:paraId="6A9C75B3" w14:textId="574836DC" w:rsidR="00CD5441" w:rsidRPr="00094C58" w:rsidRDefault="00CD5441" w:rsidP="00CD5441">
      <w:pPr>
        <w:rPr>
          <w:rFonts w:ascii="Aptos" w:hAnsi="Aptos"/>
          <w:szCs w:val="28"/>
        </w:rPr>
      </w:pPr>
    </w:p>
    <w:p w14:paraId="086D7D1A" w14:textId="6B65067D" w:rsidR="00254B4E" w:rsidRPr="00094C58" w:rsidRDefault="00254B4E" w:rsidP="00CD5441">
      <w:pPr>
        <w:rPr>
          <w:rFonts w:ascii="Aptos" w:hAnsi="Aptos"/>
          <w:szCs w:val="28"/>
        </w:rPr>
      </w:pPr>
    </w:p>
    <w:p w14:paraId="6A8679C3" w14:textId="43FA0CC6" w:rsidR="00A77561" w:rsidRPr="00094C58" w:rsidRDefault="00A77561" w:rsidP="00CD5441">
      <w:pPr>
        <w:rPr>
          <w:rFonts w:ascii="Aptos" w:hAnsi="Aptos"/>
          <w:szCs w:val="28"/>
        </w:rPr>
      </w:pPr>
    </w:p>
    <w:p w14:paraId="6AC8E716" w14:textId="38562B0F" w:rsidR="00A77561" w:rsidRPr="00094C58" w:rsidRDefault="00A77561" w:rsidP="00CD5441">
      <w:pPr>
        <w:rPr>
          <w:rFonts w:ascii="Aptos" w:hAnsi="Aptos"/>
          <w:szCs w:val="28"/>
        </w:rPr>
      </w:pPr>
    </w:p>
    <w:p w14:paraId="5CBE9FDC" w14:textId="4D94579A" w:rsidR="00094C58" w:rsidRDefault="00094C58">
      <w:pPr>
        <w:rPr>
          <w:rFonts w:ascii="Aptos" w:hAnsi="Aptos"/>
          <w:szCs w:val="28"/>
        </w:rPr>
      </w:pPr>
      <w:r>
        <w:rPr>
          <w:rFonts w:ascii="Aptos" w:hAnsi="Aptos"/>
          <w:szCs w:val="28"/>
        </w:rPr>
        <w:br w:type="page"/>
      </w:r>
    </w:p>
    <w:p w14:paraId="4EF19286" w14:textId="77777777" w:rsidR="00A77561" w:rsidRPr="00094C58" w:rsidRDefault="00A77561" w:rsidP="00CD5441">
      <w:pPr>
        <w:rPr>
          <w:rFonts w:ascii="Aptos" w:hAnsi="Aptos"/>
          <w:szCs w:val="28"/>
        </w:rPr>
      </w:pPr>
    </w:p>
    <w:p w14:paraId="0F5C40C0" w14:textId="77777777" w:rsidR="00CD5441" w:rsidRPr="00094C58" w:rsidRDefault="00CD5441" w:rsidP="00CD5441">
      <w:pPr>
        <w:rPr>
          <w:rFonts w:ascii="Aptos" w:hAnsi="Aptos" w:cs="Arial"/>
        </w:rPr>
      </w:pPr>
    </w:p>
    <w:tbl>
      <w:tblPr>
        <w:tblW w:w="1005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2677"/>
        <w:gridCol w:w="4860"/>
        <w:gridCol w:w="2520"/>
      </w:tblGrid>
      <w:tr w:rsidR="00CD5441" w:rsidRPr="00094C58" w14:paraId="421E13ED" w14:textId="77777777" w:rsidTr="00094C58">
        <w:trPr>
          <w:trHeight w:val="387"/>
        </w:trPr>
        <w:tc>
          <w:tcPr>
            <w:tcW w:w="2677" w:type="dxa"/>
            <w:shd w:val="clear" w:color="auto" w:fill="DAEEF3"/>
          </w:tcPr>
          <w:p w14:paraId="612CCEBA" w14:textId="77777777" w:rsidR="00CD5441" w:rsidRPr="00094C58" w:rsidRDefault="00CD5441" w:rsidP="00F62F74">
            <w:pPr>
              <w:rPr>
                <w:rStyle w:val="SubtleReference"/>
                <w:rFonts w:ascii="Aptos" w:hAnsi="Aptos"/>
                <w:b/>
                <w:caps/>
                <w:color w:val="auto"/>
                <w:u w:val="none"/>
              </w:rPr>
            </w:pPr>
            <w:r w:rsidRPr="00094C58">
              <w:rPr>
                <w:rStyle w:val="SubtleReference"/>
                <w:rFonts w:ascii="Aptos" w:hAnsi="Aptos"/>
                <w:b/>
                <w:caps/>
                <w:color w:val="auto"/>
                <w:u w:val="none"/>
              </w:rPr>
              <w:t>Expenses</w:t>
            </w:r>
          </w:p>
        </w:tc>
        <w:tc>
          <w:tcPr>
            <w:tcW w:w="4860" w:type="dxa"/>
            <w:shd w:val="clear" w:color="auto" w:fill="DAEEF3"/>
          </w:tcPr>
          <w:p w14:paraId="0F03B2A1" w14:textId="77777777" w:rsidR="00CD5441" w:rsidRPr="00094C58" w:rsidRDefault="00CD5441" w:rsidP="00F62F74">
            <w:pPr>
              <w:rPr>
                <w:rStyle w:val="SubtleReference"/>
                <w:rFonts w:ascii="Aptos" w:hAnsi="Aptos"/>
                <w:b/>
                <w:caps/>
                <w:color w:val="auto"/>
                <w:u w:val="none"/>
              </w:rPr>
            </w:pPr>
            <w:r w:rsidRPr="00094C58">
              <w:rPr>
                <w:rStyle w:val="SubtleReference"/>
                <w:rFonts w:ascii="Aptos" w:hAnsi="Aptos"/>
                <w:b/>
                <w:caps/>
                <w:color w:val="auto"/>
                <w:u w:val="none"/>
              </w:rPr>
              <w:t>Recommendations for Costs Savings</w:t>
            </w:r>
          </w:p>
        </w:tc>
        <w:tc>
          <w:tcPr>
            <w:tcW w:w="2520" w:type="dxa"/>
            <w:shd w:val="clear" w:color="auto" w:fill="DAEEF3"/>
          </w:tcPr>
          <w:p w14:paraId="1BE88409" w14:textId="77777777" w:rsidR="00CD5441" w:rsidRPr="00094C58" w:rsidRDefault="00CD5441" w:rsidP="00F62F74">
            <w:pPr>
              <w:rPr>
                <w:rStyle w:val="SubtleReference"/>
                <w:rFonts w:ascii="Aptos" w:hAnsi="Aptos"/>
                <w:b/>
                <w:caps/>
                <w:color w:val="auto"/>
                <w:u w:val="none"/>
              </w:rPr>
            </w:pPr>
            <w:r w:rsidRPr="00094C58">
              <w:rPr>
                <w:rStyle w:val="SubtleReference"/>
                <w:rFonts w:ascii="Aptos" w:hAnsi="Aptos"/>
                <w:b/>
                <w:caps/>
                <w:color w:val="auto"/>
                <w:u w:val="none"/>
              </w:rPr>
              <w:t>Costs</w:t>
            </w:r>
          </w:p>
        </w:tc>
      </w:tr>
      <w:tr w:rsidR="00CD5441" w:rsidRPr="00094C58" w14:paraId="2D572219" w14:textId="77777777" w:rsidTr="00094C58">
        <w:trPr>
          <w:trHeight w:val="399"/>
        </w:trPr>
        <w:tc>
          <w:tcPr>
            <w:tcW w:w="2677" w:type="dxa"/>
          </w:tcPr>
          <w:p w14:paraId="16EF4FF4" w14:textId="77777777" w:rsidR="00CD5441" w:rsidRPr="00094C58" w:rsidRDefault="00CD5441" w:rsidP="00F62F74">
            <w:pPr>
              <w:rPr>
                <w:rFonts w:ascii="Aptos" w:hAnsi="Aptos" w:cs="Arial"/>
              </w:rPr>
            </w:pPr>
            <w:r w:rsidRPr="00094C58">
              <w:rPr>
                <w:rFonts w:ascii="Aptos" w:hAnsi="Aptos" w:cs="Arial"/>
              </w:rPr>
              <w:t>Conference Registration</w:t>
            </w:r>
          </w:p>
        </w:tc>
        <w:tc>
          <w:tcPr>
            <w:tcW w:w="4860" w:type="dxa"/>
          </w:tcPr>
          <w:p w14:paraId="75DB09D8" w14:textId="77777777" w:rsidR="00CD5441" w:rsidRPr="00094C58" w:rsidRDefault="00CD5441" w:rsidP="00F62F74">
            <w:pPr>
              <w:rPr>
                <w:rFonts w:ascii="Aptos" w:hAnsi="Aptos" w:cs="Arial"/>
              </w:rPr>
            </w:pPr>
          </w:p>
        </w:tc>
        <w:tc>
          <w:tcPr>
            <w:tcW w:w="2520" w:type="dxa"/>
          </w:tcPr>
          <w:p w14:paraId="6F15AB3C"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17239800" w14:textId="77777777" w:rsidTr="00094C58">
        <w:trPr>
          <w:trHeight w:val="408"/>
        </w:trPr>
        <w:tc>
          <w:tcPr>
            <w:tcW w:w="2677" w:type="dxa"/>
          </w:tcPr>
          <w:p w14:paraId="02C3D1F5" w14:textId="77777777" w:rsidR="00CD5441" w:rsidRPr="00094C58" w:rsidRDefault="00CD5441" w:rsidP="00F62F74">
            <w:pPr>
              <w:rPr>
                <w:rFonts w:ascii="Aptos" w:hAnsi="Aptos" w:cs="Arial"/>
              </w:rPr>
            </w:pPr>
            <w:r w:rsidRPr="00094C58">
              <w:rPr>
                <w:rFonts w:ascii="Aptos" w:hAnsi="Aptos" w:cs="Arial"/>
              </w:rPr>
              <w:t>Flight</w:t>
            </w:r>
          </w:p>
        </w:tc>
        <w:tc>
          <w:tcPr>
            <w:tcW w:w="4860" w:type="dxa"/>
          </w:tcPr>
          <w:p w14:paraId="2D5A5250" w14:textId="77777777" w:rsidR="00CD5441" w:rsidRPr="00094C58" w:rsidRDefault="00CD5441" w:rsidP="00F62F74">
            <w:pPr>
              <w:rPr>
                <w:rFonts w:ascii="Aptos" w:hAnsi="Aptos" w:cs="Arial"/>
              </w:rPr>
            </w:pPr>
          </w:p>
        </w:tc>
        <w:tc>
          <w:tcPr>
            <w:tcW w:w="2520" w:type="dxa"/>
          </w:tcPr>
          <w:p w14:paraId="7D148447"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41374F16" w14:textId="77777777" w:rsidTr="00094C58">
        <w:tc>
          <w:tcPr>
            <w:tcW w:w="2677" w:type="dxa"/>
          </w:tcPr>
          <w:p w14:paraId="4B8AE362" w14:textId="77777777" w:rsidR="00CD5441" w:rsidRPr="00094C58" w:rsidRDefault="00CD5441" w:rsidP="00F62F74">
            <w:pPr>
              <w:rPr>
                <w:rFonts w:ascii="Aptos" w:hAnsi="Aptos" w:cs="Arial"/>
              </w:rPr>
            </w:pPr>
            <w:r w:rsidRPr="00094C58">
              <w:rPr>
                <w:rFonts w:ascii="Aptos" w:hAnsi="Aptos" w:cs="Arial"/>
              </w:rPr>
              <w:t>Accommodation</w:t>
            </w:r>
          </w:p>
        </w:tc>
        <w:tc>
          <w:tcPr>
            <w:tcW w:w="4860" w:type="dxa"/>
          </w:tcPr>
          <w:p w14:paraId="2A4206F6" w14:textId="7A634CEB" w:rsidR="00CD5441" w:rsidRPr="00094C58" w:rsidRDefault="00CD5441" w:rsidP="00F62F74">
            <w:pPr>
              <w:rPr>
                <w:rFonts w:ascii="Aptos" w:hAnsi="Aptos" w:cs="Arial"/>
              </w:rPr>
            </w:pPr>
            <w:r w:rsidRPr="00094C58">
              <w:rPr>
                <w:rFonts w:ascii="Aptos" w:hAnsi="Aptos" w:cs="Arial"/>
              </w:rPr>
              <w:t xml:space="preserve">CAMDR host hotel, </w:t>
            </w:r>
            <w:r w:rsidR="005A63BF" w:rsidRPr="00094C58">
              <w:rPr>
                <w:rFonts w:ascii="Aptos" w:hAnsi="Aptos" w:cs="Arial"/>
              </w:rPr>
              <w:t>Delta Hotel</w:t>
            </w:r>
            <w:r w:rsidRPr="00094C58">
              <w:rPr>
                <w:rFonts w:ascii="Aptos" w:hAnsi="Aptos" w:cs="Arial"/>
              </w:rPr>
              <w:t>, offers discounts and reduced-rate hotel rooms.</w:t>
            </w:r>
          </w:p>
        </w:tc>
        <w:tc>
          <w:tcPr>
            <w:tcW w:w="2520" w:type="dxa"/>
          </w:tcPr>
          <w:p w14:paraId="4211D579"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0E387857" w14:textId="77777777" w:rsidTr="00094C58">
        <w:trPr>
          <w:trHeight w:val="588"/>
        </w:trPr>
        <w:tc>
          <w:tcPr>
            <w:tcW w:w="2677" w:type="dxa"/>
          </w:tcPr>
          <w:p w14:paraId="01E1C774" w14:textId="77777777" w:rsidR="00CD5441" w:rsidRPr="00094C58" w:rsidRDefault="00CD5441" w:rsidP="00F62F74">
            <w:pPr>
              <w:rPr>
                <w:rFonts w:ascii="Aptos" w:hAnsi="Aptos" w:cs="Arial"/>
              </w:rPr>
            </w:pPr>
            <w:r w:rsidRPr="00094C58">
              <w:rPr>
                <w:rFonts w:ascii="Aptos" w:hAnsi="Aptos" w:cs="Arial"/>
              </w:rPr>
              <w:t>Transportation</w:t>
            </w:r>
          </w:p>
        </w:tc>
        <w:tc>
          <w:tcPr>
            <w:tcW w:w="4860" w:type="dxa"/>
          </w:tcPr>
          <w:p w14:paraId="076347BA" w14:textId="2D75FF85" w:rsidR="00CD5441" w:rsidRPr="00094C58" w:rsidRDefault="005A63BF" w:rsidP="00094C58">
            <w:pPr>
              <w:rPr>
                <w:rFonts w:ascii="Aptos" w:hAnsi="Aptos" w:cs="Arial"/>
              </w:rPr>
            </w:pPr>
            <w:r w:rsidRPr="00094C58">
              <w:rPr>
                <w:rFonts w:ascii="Aptos" w:hAnsi="Aptos" w:cs="Arial"/>
              </w:rPr>
              <w:t>St. John’s</w:t>
            </w:r>
            <w:r w:rsidR="00953927" w:rsidRPr="00094C58">
              <w:rPr>
                <w:rFonts w:ascii="Aptos" w:hAnsi="Aptos" w:cs="Arial"/>
              </w:rPr>
              <w:t xml:space="preserve"> International Airport is </w:t>
            </w:r>
            <w:r w:rsidRPr="00094C58">
              <w:rPr>
                <w:rFonts w:ascii="Aptos" w:hAnsi="Aptos" w:cs="Arial"/>
              </w:rPr>
              <w:t>7.6</w:t>
            </w:r>
            <w:r w:rsidR="00CD5441" w:rsidRPr="00094C58">
              <w:rPr>
                <w:rFonts w:ascii="Aptos" w:hAnsi="Aptos" w:cs="Arial"/>
              </w:rPr>
              <w:t xml:space="preserve">km away from the </w:t>
            </w:r>
            <w:r w:rsidRPr="00094C58">
              <w:rPr>
                <w:rFonts w:ascii="Aptos" w:hAnsi="Aptos" w:cs="Arial"/>
              </w:rPr>
              <w:t>St. John’s Conference Centre</w:t>
            </w:r>
            <w:r w:rsidR="00CD5441" w:rsidRPr="00094C58">
              <w:rPr>
                <w:rFonts w:ascii="Aptos" w:hAnsi="Aptos" w:cs="Arial"/>
              </w:rPr>
              <w:t>.</w:t>
            </w:r>
          </w:p>
        </w:tc>
        <w:tc>
          <w:tcPr>
            <w:tcW w:w="2520" w:type="dxa"/>
          </w:tcPr>
          <w:p w14:paraId="06C35249"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2ABBCDCE" w14:textId="77777777" w:rsidTr="00094C58">
        <w:trPr>
          <w:trHeight w:val="804"/>
        </w:trPr>
        <w:tc>
          <w:tcPr>
            <w:tcW w:w="2677" w:type="dxa"/>
          </w:tcPr>
          <w:p w14:paraId="276D4F77" w14:textId="77777777" w:rsidR="00CD5441" w:rsidRPr="00094C58" w:rsidRDefault="00CD5441" w:rsidP="00F62F74">
            <w:pPr>
              <w:rPr>
                <w:rFonts w:ascii="Aptos" w:hAnsi="Aptos" w:cs="Arial"/>
              </w:rPr>
            </w:pPr>
            <w:r w:rsidRPr="00094C58">
              <w:rPr>
                <w:rFonts w:ascii="Aptos" w:hAnsi="Aptos" w:cs="Arial"/>
              </w:rPr>
              <w:t>Meals</w:t>
            </w:r>
          </w:p>
        </w:tc>
        <w:tc>
          <w:tcPr>
            <w:tcW w:w="4860" w:type="dxa"/>
          </w:tcPr>
          <w:p w14:paraId="278E4201" w14:textId="08055CBE" w:rsidR="00CD5441" w:rsidRPr="00094C58" w:rsidRDefault="00CD5441" w:rsidP="00F62F74">
            <w:pPr>
              <w:rPr>
                <w:rFonts w:ascii="Aptos" w:hAnsi="Aptos" w:cs="Arial"/>
              </w:rPr>
            </w:pPr>
            <w:r w:rsidRPr="00094C58">
              <w:rPr>
                <w:rFonts w:ascii="Aptos" w:hAnsi="Aptos" w:cs="Arial"/>
              </w:rPr>
              <w:t xml:space="preserve">Full Registration </w:t>
            </w:r>
            <w:r w:rsidR="005A63BF" w:rsidRPr="00094C58">
              <w:rPr>
                <w:rFonts w:ascii="Aptos" w:hAnsi="Aptos" w:cs="Arial"/>
              </w:rPr>
              <w:t>includes</w:t>
            </w:r>
            <w:r w:rsidRPr="00094C58">
              <w:rPr>
                <w:rFonts w:ascii="Aptos" w:hAnsi="Aptos" w:cs="Arial"/>
              </w:rPr>
              <w:t xml:space="preserve"> </w:t>
            </w:r>
            <w:r w:rsidR="00672EC4" w:rsidRPr="00094C58">
              <w:rPr>
                <w:rFonts w:ascii="Aptos" w:hAnsi="Aptos" w:cs="Arial"/>
              </w:rPr>
              <w:t xml:space="preserve">lunch on October </w:t>
            </w:r>
            <w:r w:rsidR="005A63BF" w:rsidRPr="00094C58">
              <w:rPr>
                <w:rFonts w:ascii="Aptos" w:hAnsi="Aptos" w:cs="Arial"/>
              </w:rPr>
              <w:t>22</w:t>
            </w:r>
            <w:r w:rsidR="00953927" w:rsidRPr="00094C58">
              <w:rPr>
                <w:rFonts w:ascii="Aptos" w:hAnsi="Aptos" w:cs="Arial"/>
              </w:rPr>
              <w:t>-</w:t>
            </w:r>
            <w:r w:rsidR="005A63BF" w:rsidRPr="00094C58">
              <w:rPr>
                <w:rFonts w:ascii="Aptos" w:hAnsi="Aptos" w:cs="Arial"/>
              </w:rPr>
              <w:t>24</w:t>
            </w:r>
            <w:r w:rsidRPr="00094C58">
              <w:rPr>
                <w:rFonts w:ascii="Aptos" w:hAnsi="Aptos" w:cs="Arial"/>
              </w:rPr>
              <w:t xml:space="preserve">, Opening </w:t>
            </w:r>
            <w:r w:rsidR="009B1A6C" w:rsidRPr="00094C58">
              <w:rPr>
                <w:rFonts w:ascii="Aptos" w:hAnsi="Aptos" w:cs="Arial"/>
              </w:rPr>
              <w:t xml:space="preserve">Reception on Thursday October </w:t>
            </w:r>
            <w:r w:rsidR="005A63BF" w:rsidRPr="00094C58">
              <w:rPr>
                <w:rFonts w:ascii="Aptos" w:hAnsi="Aptos" w:cs="Arial"/>
              </w:rPr>
              <w:t>22</w:t>
            </w:r>
            <w:r w:rsidRPr="00094C58">
              <w:rPr>
                <w:rFonts w:ascii="Aptos" w:hAnsi="Aptos" w:cs="Arial"/>
              </w:rPr>
              <w:t>, and Banquet Dinn</w:t>
            </w:r>
            <w:r w:rsidR="009B1A6C" w:rsidRPr="00094C58">
              <w:rPr>
                <w:rFonts w:ascii="Aptos" w:hAnsi="Aptos" w:cs="Arial"/>
              </w:rPr>
              <w:t xml:space="preserve">er &amp; Social on </w:t>
            </w:r>
            <w:r w:rsidR="00434967" w:rsidRPr="00094C58">
              <w:rPr>
                <w:rFonts w:ascii="Aptos" w:hAnsi="Aptos" w:cs="Arial"/>
              </w:rPr>
              <w:t>Saturday</w:t>
            </w:r>
            <w:r w:rsidR="009B1A6C" w:rsidRPr="00094C58">
              <w:rPr>
                <w:rFonts w:ascii="Aptos" w:hAnsi="Aptos" w:cs="Arial"/>
              </w:rPr>
              <w:t xml:space="preserve"> October </w:t>
            </w:r>
            <w:r w:rsidR="005A63BF" w:rsidRPr="00094C58">
              <w:rPr>
                <w:rFonts w:ascii="Aptos" w:hAnsi="Aptos" w:cs="Arial"/>
              </w:rPr>
              <w:t>24</w:t>
            </w:r>
            <w:r w:rsidRPr="00094C58">
              <w:rPr>
                <w:rFonts w:ascii="Aptos" w:hAnsi="Aptos" w:cs="Arial"/>
              </w:rPr>
              <w:t xml:space="preserve">. </w:t>
            </w:r>
          </w:p>
        </w:tc>
        <w:tc>
          <w:tcPr>
            <w:tcW w:w="2520" w:type="dxa"/>
          </w:tcPr>
          <w:p w14:paraId="1786D591"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3D1210E6" w14:textId="77777777" w:rsidTr="00094C58">
        <w:trPr>
          <w:trHeight w:val="336"/>
        </w:trPr>
        <w:tc>
          <w:tcPr>
            <w:tcW w:w="2677" w:type="dxa"/>
            <w:shd w:val="clear" w:color="auto" w:fill="DAEEF3"/>
          </w:tcPr>
          <w:p w14:paraId="01D31F2C" w14:textId="77777777" w:rsidR="00CD5441" w:rsidRPr="00094C58" w:rsidRDefault="00CD5441" w:rsidP="00F62F74">
            <w:pPr>
              <w:rPr>
                <w:rFonts w:ascii="Aptos" w:hAnsi="Aptos" w:cs="Arial"/>
              </w:rPr>
            </w:pPr>
          </w:p>
        </w:tc>
        <w:tc>
          <w:tcPr>
            <w:tcW w:w="4860" w:type="dxa"/>
            <w:shd w:val="clear" w:color="auto" w:fill="DAEEF3"/>
          </w:tcPr>
          <w:p w14:paraId="1B5F8B77" w14:textId="77777777" w:rsidR="00CD5441" w:rsidRPr="00094C58" w:rsidRDefault="00CD5441" w:rsidP="00F62F74">
            <w:pPr>
              <w:jc w:val="right"/>
              <w:rPr>
                <w:rStyle w:val="SubtleReference"/>
                <w:rFonts w:ascii="Aptos" w:hAnsi="Aptos"/>
                <w:b/>
                <w:color w:val="auto"/>
                <w:u w:val="none"/>
              </w:rPr>
            </w:pPr>
            <w:r w:rsidRPr="00094C58">
              <w:rPr>
                <w:rStyle w:val="SubtleReference"/>
                <w:rFonts w:ascii="Aptos" w:hAnsi="Aptos"/>
                <w:b/>
                <w:color w:val="auto"/>
                <w:u w:val="none"/>
              </w:rPr>
              <w:t>TOTAL</w:t>
            </w:r>
          </w:p>
        </w:tc>
        <w:tc>
          <w:tcPr>
            <w:tcW w:w="2520" w:type="dxa"/>
            <w:shd w:val="clear" w:color="auto" w:fill="DAEEF3"/>
          </w:tcPr>
          <w:p w14:paraId="3B761BB7" w14:textId="77777777" w:rsidR="00CD5441" w:rsidRPr="00094C58" w:rsidRDefault="00CD5441" w:rsidP="00F62F74">
            <w:pPr>
              <w:rPr>
                <w:rFonts w:ascii="Aptos" w:hAnsi="Aptos" w:cs="Arial"/>
              </w:rPr>
            </w:pPr>
            <w:r w:rsidRPr="00094C58">
              <w:rPr>
                <w:rFonts w:ascii="Aptos" w:hAnsi="Aptos" w:cs="Arial"/>
              </w:rPr>
              <w:t>$</w:t>
            </w:r>
          </w:p>
        </w:tc>
      </w:tr>
    </w:tbl>
    <w:p w14:paraId="791F2417" w14:textId="77777777" w:rsidR="003B0267" w:rsidRPr="00094C58" w:rsidRDefault="003B0267" w:rsidP="001C022E">
      <w:pPr>
        <w:rPr>
          <w:rFonts w:ascii="Aptos" w:hAnsi="Aptos"/>
        </w:rPr>
      </w:pPr>
    </w:p>
    <w:sectPr w:rsidR="003B0267" w:rsidRPr="00094C58" w:rsidSect="00FA2AAC">
      <w:headerReference w:type="default" r:id="rId7"/>
      <w:pgSz w:w="12240" w:h="15840" w:code="1"/>
      <w:pgMar w:top="1080" w:right="1080" w:bottom="810" w:left="108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9C9F" w14:textId="77777777" w:rsidR="00C03045" w:rsidRDefault="00C03045" w:rsidP="00EE685E">
      <w:r>
        <w:separator/>
      </w:r>
    </w:p>
  </w:endnote>
  <w:endnote w:type="continuationSeparator" w:id="0">
    <w:p w14:paraId="7177142B" w14:textId="77777777" w:rsidR="00C03045" w:rsidRDefault="00C03045" w:rsidP="00EE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5B48" w14:textId="77777777" w:rsidR="00C03045" w:rsidRDefault="00C03045" w:rsidP="00EE685E">
      <w:r>
        <w:separator/>
      </w:r>
    </w:p>
  </w:footnote>
  <w:footnote w:type="continuationSeparator" w:id="0">
    <w:p w14:paraId="5FB24556" w14:textId="77777777" w:rsidR="00C03045" w:rsidRDefault="00C03045" w:rsidP="00EE6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8661" w14:textId="77D3212C" w:rsidR="00A73BB1" w:rsidRPr="008359B9" w:rsidRDefault="00A73BB1" w:rsidP="00094C58">
    <w:pPr>
      <w:pStyle w:val="style12n"/>
      <w:spacing w:before="0" w:beforeAutospacing="0" w:after="0" w:afterAutospacing="0"/>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97C"/>
    <w:multiLevelType w:val="hybridMultilevel"/>
    <w:tmpl w:val="663EB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333281"/>
    <w:multiLevelType w:val="hybridMultilevel"/>
    <w:tmpl w:val="E458C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6200FE7"/>
    <w:multiLevelType w:val="hybridMultilevel"/>
    <w:tmpl w:val="67A80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9C416B"/>
    <w:multiLevelType w:val="hybridMultilevel"/>
    <w:tmpl w:val="C6B49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6369EB"/>
    <w:multiLevelType w:val="hybridMultilevel"/>
    <w:tmpl w:val="765417B2"/>
    <w:lvl w:ilvl="0" w:tplc="8EDADAC2">
      <w:start w:val="1"/>
      <w:numFmt w:val="bullet"/>
      <w:lvlText w:val="-"/>
      <w:lvlJc w:val="left"/>
      <w:pPr>
        <w:ind w:left="360" w:hanging="360"/>
      </w:pPr>
      <w:rPr>
        <w:rFonts w:ascii="Calibri" w:eastAsia="Times New Roman"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1843592">
    <w:abstractNumId w:val="0"/>
  </w:num>
  <w:num w:numId="2" w16cid:durableId="1664701861">
    <w:abstractNumId w:val="2"/>
  </w:num>
  <w:num w:numId="3" w16cid:durableId="1735398000">
    <w:abstractNumId w:val="4"/>
  </w:num>
  <w:num w:numId="4" w16cid:durableId="1744063313">
    <w:abstractNumId w:val="2"/>
  </w:num>
  <w:num w:numId="5" w16cid:durableId="1358852312">
    <w:abstractNumId w:val="4"/>
  </w:num>
  <w:num w:numId="6" w16cid:durableId="1537043067">
    <w:abstractNumId w:val="1"/>
  </w:num>
  <w:num w:numId="7" w16cid:durableId="1930965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7C"/>
    <w:rsid w:val="000123E3"/>
    <w:rsid w:val="00027D69"/>
    <w:rsid w:val="000526EE"/>
    <w:rsid w:val="000572C4"/>
    <w:rsid w:val="00094C58"/>
    <w:rsid w:val="000C6422"/>
    <w:rsid w:val="000D1EB7"/>
    <w:rsid w:val="000E7C39"/>
    <w:rsid w:val="00100875"/>
    <w:rsid w:val="00127BD6"/>
    <w:rsid w:val="00147E0E"/>
    <w:rsid w:val="0016047D"/>
    <w:rsid w:val="00174E66"/>
    <w:rsid w:val="00193053"/>
    <w:rsid w:val="001C022E"/>
    <w:rsid w:val="001F0D66"/>
    <w:rsid w:val="00203C0F"/>
    <w:rsid w:val="00224DBC"/>
    <w:rsid w:val="002448B6"/>
    <w:rsid w:val="00254B4E"/>
    <w:rsid w:val="00267813"/>
    <w:rsid w:val="00284E8F"/>
    <w:rsid w:val="002854DA"/>
    <w:rsid w:val="00332B06"/>
    <w:rsid w:val="003363D0"/>
    <w:rsid w:val="00382575"/>
    <w:rsid w:val="0038476C"/>
    <w:rsid w:val="003A3CED"/>
    <w:rsid w:val="003B0267"/>
    <w:rsid w:val="003B3268"/>
    <w:rsid w:val="003C0791"/>
    <w:rsid w:val="00403630"/>
    <w:rsid w:val="00405C38"/>
    <w:rsid w:val="00423954"/>
    <w:rsid w:val="00434967"/>
    <w:rsid w:val="004C680B"/>
    <w:rsid w:val="005263B6"/>
    <w:rsid w:val="00534E1F"/>
    <w:rsid w:val="005432C4"/>
    <w:rsid w:val="00554DE0"/>
    <w:rsid w:val="005A63BF"/>
    <w:rsid w:val="006074C3"/>
    <w:rsid w:val="00622288"/>
    <w:rsid w:val="006231F9"/>
    <w:rsid w:val="00633B39"/>
    <w:rsid w:val="00637E8F"/>
    <w:rsid w:val="00653FFC"/>
    <w:rsid w:val="006556DD"/>
    <w:rsid w:val="006602E2"/>
    <w:rsid w:val="00664B6A"/>
    <w:rsid w:val="00666EFC"/>
    <w:rsid w:val="00672EC4"/>
    <w:rsid w:val="006836FD"/>
    <w:rsid w:val="006A03FE"/>
    <w:rsid w:val="006B4C0E"/>
    <w:rsid w:val="007145D6"/>
    <w:rsid w:val="0072230D"/>
    <w:rsid w:val="00760D99"/>
    <w:rsid w:val="007B29C6"/>
    <w:rsid w:val="007E0CDA"/>
    <w:rsid w:val="007E4DAE"/>
    <w:rsid w:val="007F6FB7"/>
    <w:rsid w:val="00805084"/>
    <w:rsid w:val="00810F53"/>
    <w:rsid w:val="0085301F"/>
    <w:rsid w:val="00856247"/>
    <w:rsid w:val="0086032A"/>
    <w:rsid w:val="008C71FC"/>
    <w:rsid w:val="008D7B7C"/>
    <w:rsid w:val="0091420D"/>
    <w:rsid w:val="00953927"/>
    <w:rsid w:val="00961B33"/>
    <w:rsid w:val="00981C1A"/>
    <w:rsid w:val="00992B98"/>
    <w:rsid w:val="009A7D9C"/>
    <w:rsid w:val="009B1A6C"/>
    <w:rsid w:val="00A36B5D"/>
    <w:rsid w:val="00A73BB1"/>
    <w:rsid w:val="00A77561"/>
    <w:rsid w:val="00AA719A"/>
    <w:rsid w:val="00AB7284"/>
    <w:rsid w:val="00AE4E01"/>
    <w:rsid w:val="00B167D3"/>
    <w:rsid w:val="00B22CD2"/>
    <w:rsid w:val="00BA5D2D"/>
    <w:rsid w:val="00BC109C"/>
    <w:rsid w:val="00C03045"/>
    <w:rsid w:val="00C773B2"/>
    <w:rsid w:val="00CD5441"/>
    <w:rsid w:val="00CD5CB5"/>
    <w:rsid w:val="00D05A14"/>
    <w:rsid w:val="00D440B8"/>
    <w:rsid w:val="00D54C1B"/>
    <w:rsid w:val="00DB1C72"/>
    <w:rsid w:val="00DD7544"/>
    <w:rsid w:val="00DF67FE"/>
    <w:rsid w:val="00E2517F"/>
    <w:rsid w:val="00E62C47"/>
    <w:rsid w:val="00E71A6E"/>
    <w:rsid w:val="00E74383"/>
    <w:rsid w:val="00E905F4"/>
    <w:rsid w:val="00EA5134"/>
    <w:rsid w:val="00EE685E"/>
    <w:rsid w:val="00EF21D1"/>
    <w:rsid w:val="00F024DF"/>
    <w:rsid w:val="00F07060"/>
    <w:rsid w:val="00F6705B"/>
    <w:rsid w:val="00F729AB"/>
    <w:rsid w:val="00F908B2"/>
    <w:rsid w:val="00FA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24324"/>
  <w15:docId w15:val="{ECD75BEF-69FB-4BEB-95CE-58C8562F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575"/>
    <w:rPr>
      <w:rFonts w:ascii="Century Gothic" w:hAnsi="Century Gothic"/>
    </w:rPr>
  </w:style>
  <w:style w:type="paragraph" w:styleId="Heading4">
    <w:name w:val="heading 4"/>
    <w:basedOn w:val="Normal"/>
    <w:next w:val="Normal"/>
    <w:link w:val="Heading4Char"/>
    <w:qFormat/>
    <w:rsid w:val="00BC109C"/>
    <w:pPr>
      <w:keepNext/>
      <w:widowControl w:val="0"/>
      <w:overflowPunct w:val="0"/>
      <w:autoSpaceDE w:val="0"/>
      <w:autoSpaceDN w:val="0"/>
      <w:adjustRightInd w:val="0"/>
      <w:textAlignment w:val="baseline"/>
      <w:outlineLvl w:val="3"/>
    </w:pPr>
    <w:rPr>
      <w:rFonts w:ascii="Tahoma" w:eastAsia="Times New Roman" w:hAnsi="Tahoma" w:cs="Tahoma"/>
      <w:b/>
      <w:bC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2575"/>
    <w:pPr>
      <w:tabs>
        <w:tab w:val="center" w:pos="4320"/>
        <w:tab w:val="right" w:pos="8640"/>
      </w:tabs>
    </w:pPr>
  </w:style>
  <w:style w:type="paragraph" w:styleId="Footer">
    <w:name w:val="footer"/>
    <w:basedOn w:val="Normal"/>
    <w:link w:val="FooterChar"/>
    <w:rsid w:val="00382575"/>
    <w:pPr>
      <w:tabs>
        <w:tab w:val="center" w:pos="4320"/>
        <w:tab w:val="right" w:pos="8640"/>
      </w:tabs>
    </w:pPr>
  </w:style>
  <w:style w:type="paragraph" w:customStyle="1" w:styleId="Pa1">
    <w:name w:val="Pa1"/>
    <w:basedOn w:val="Normal"/>
    <w:next w:val="Normal"/>
    <w:uiPriority w:val="99"/>
    <w:rsid w:val="00267813"/>
    <w:pPr>
      <w:autoSpaceDE w:val="0"/>
      <w:autoSpaceDN w:val="0"/>
      <w:adjustRightInd w:val="0"/>
      <w:spacing w:line="241" w:lineRule="atLeast"/>
    </w:pPr>
    <w:rPr>
      <w:rFonts w:ascii="HelveticaNeue Condensed" w:eastAsia="Times New Roman" w:hAnsi="HelveticaNeue Condensed"/>
      <w:sz w:val="24"/>
      <w:szCs w:val="24"/>
    </w:rPr>
  </w:style>
  <w:style w:type="character" w:customStyle="1" w:styleId="A1">
    <w:name w:val="A1"/>
    <w:uiPriority w:val="99"/>
    <w:rsid w:val="00267813"/>
    <w:rPr>
      <w:rFonts w:cs="HelveticaNeue Condensed"/>
      <w:color w:val="808285"/>
      <w:sz w:val="20"/>
      <w:szCs w:val="20"/>
    </w:rPr>
  </w:style>
  <w:style w:type="paragraph" w:styleId="ListParagraph">
    <w:name w:val="List Paragraph"/>
    <w:basedOn w:val="Normal"/>
    <w:uiPriority w:val="34"/>
    <w:qFormat/>
    <w:rsid w:val="000123E3"/>
    <w:pPr>
      <w:ind w:left="720"/>
      <w:contextualSpacing/>
    </w:pPr>
  </w:style>
  <w:style w:type="character" w:customStyle="1" w:styleId="Heading4Char">
    <w:name w:val="Heading 4 Char"/>
    <w:basedOn w:val="DefaultParagraphFont"/>
    <w:link w:val="Heading4"/>
    <w:rsid w:val="00BC109C"/>
    <w:rPr>
      <w:rFonts w:ascii="Tahoma" w:eastAsia="Times New Roman" w:hAnsi="Tahoma" w:cs="Tahoma"/>
      <w:b/>
      <w:bCs/>
      <w:color w:val="000000"/>
      <w:sz w:val="16"/>
    </w:rPr>
  </w:style>
  <w:style w:type="paragraph" w:customStyle="1" w:styleId="style12n">
    <w:name w:val="style12n"/>
    <w:basedOn w:val="Normal"/>
    <w:rsid w:val="00BC109C"/>
    <w:pPr>
      <w:spacing w:before="100" w:beforeAutospacing="1" w:after="100" w:afterAutospacing="1"/>
    </w:pPr>
    <w:rPr>
      <w:rFonts w:ascii="Verdana" w:eastAsia="Times New Roman" w:hAnsi="Verdana"/>
      <w:color w:val="000000"/>
      <w:sz w:val="18"/>
      <w:szCs w:val="18"/>
    </w:rPr>
  </w:style>
  <w:style w:type="character" w:styleId="Hyperlink">
    <w:name w:val="Hyperlink"/>
    <w:basedOn w:val="DefaultParagraphFont"/>
    <w:rsid w:val="00BC109C"/>
    <w:rPr>
      <w:color w:val="0000FF"/>
      <w:u w:val="single"/>
    </w:rPr>
  </w:style>
  <w:style w:type="paragraph" w:customStyle="1" w:styleId="style13b">
    <w:name w:val="style13b"/>
    <w:basedOn w:val="Normal"/>
    <w:rsid w:val="00BC109C"/>
    <w:pPr>
      <w:spacing w:before="100" w:beforeAutospacing="1" w:after="100" w:afterAutospacing="1"/>
    </w:pPr>
    <w:rPr>
      <w:rFonts w:ascii="Verdana" w:eastAsia="Times New Roman" w:hAnsi="Verdana"/>
      <w:b/>
      <w:bCs/>
      <w:color w:val="000000"/>
    </w:rPr>
  </w:style>
  <w:style w:type="paragraph" w:customStyle="1" w:styleId="style16b">
    <w:name w:val="style16b"/>
    <w:basedOn w:val="Normal"/>
    <w:rsid w:val="00BC109C"/>
    <w:pPr>
      <w:spacing w:before="100" w:beforeAutospacing="1" w:after="100" w:afterAutospacing="1"/>
    </w:pPr>
    <w:rPr>
      <w:rFonts w:ascii="Verdana" w:eastAsia="Times New Roman" w:hAnsi="Verdana"/>
      <w:b/>
      <w:bCs/>
      <w:color w:val="000000"/>
      <w:sz w:val="24"/>
      <w:szCs w:val="24"/>
    </w:rPr>
  </w:style>
  <w:style w:type="table" w:styleId="TableGrid">
    <w:name w:val="Table Grid"/>
    <w:basedOn w:val="TableNormal"/>
    <w:rsid w:val="00BC10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C109C"/>
    <w:pPr>
      <w:widowControl w:val="0"/>
      <w:overflowPunct w:val="0"/>
      <w:autoSpaceDE w:val="0"/>
      <w:autoSpaceDN w:val="0"/>
      <w:adjustRightInd w:val="0"/>
      <w:jc w:val="both"/>
      <w:textAlignment w:val="baseline"/>
    </w:pPr>
    <w:rPr>
      <w:rFonts w:ascii="Tahoma" w:eastAsia="Times New Roman" w:hAnsi="Tahoma" w:cs="Tahoma"/>
      <w:sz w:val="14"/>
    </w:rPr>
  </w:style>
  <w:style w:type="character" w:customStyle="1" w:styleId="BodyTextChar">
    <w:name w:val="Body Text Char"/>
    <w:basedOn w:val="DefaultParagraphFont"/>
    <w:link w:val="BodyText"/>
    <w:rsid w:val="00BC109C"/>
    <w:rPr>
      <w:rFonts w:ascii="Tahoma" w:eastAsia="Times New Roman" w:hAnsi="Tahoma" w:cs="Tahoma"/>
      <w:sz w:val="14"/>
    </w:rPr>
  </w:style>
  <w:style w:type="character" w:customStyle="1" w:styleId="FooterChar">
    <w:name w:val="Footer Char"/>
    <w:basedOn w:val="DefaultParagraphFont"/>
    <w:link w:val="Footer"/>
    <w:rsid w:val="00BC109C"/>
    <w:rPr>
      <w:rFonts w:ascii="Century Gothic" w:hAnsi="Century Gothic"/>
    </w:rPr>
  </w:style>
  <w:style w:type="paragraph" w:styleId="BalloonText">
    <w:name w:val="Balloon Text"/>
    <w:basedOn w:val="Normal"/>
    <w:link w:val="BalloonTextChar"/>
    <w:uiPriority w:val="99"/>
    <w:semiHidden/>
    <w:unhideWhenUsed/>
    <w:rsid w:val="00CD5CB5"/>
    <w:rPr>
      <w:rFonts w:ascii="Tahoma" w:hAnsi="Tahoma" w:cs="Tahoma"/>
      <w:sz w:val="16"/>
      <w:szCs w:val="16"/>
    </w:rPr>
  </w:style>
  <w:style w:type="character" w:customStyle="1" w:styleId="BalloonTextChar">
    <w:name w:val="Balloon Text Char"/>
    <w:basedOn w:val="DefaultParagraphFont"/>
    <w:link w:val="BalloonText"/>
    <w:uiPriority w:val="99"/>
    <w:semiHidden/>
    <w:rsid w:val="00CD5CB5"/>
    <w:rPr>
      <w:rFonts w:ascii="Tahoma" w:hAnsi="Tahoma" w:cs="Tahoma"/>
      <w:sz w:val="16"/>
      <w:szCs w:val="16"/>
    </w:rPr>
  </w:style>
  <w:style w:type="character" w:customStyle="1" w:styleId="apple-converted-space">
    <w:name w:val="apple-converted-space"/>
    <w:basedOn w:val="DefaultParagraphFont"/>
    <w:rsid w:val="00622288"/>
  </w:style>
  <w:style w:type="character" w:styleId="SubtleReference">
    <w:name w:val="Subtle Reference"/>
    <w:uiPriority w:val="31"/>
    <w:qFormat/>
    <w:rsid w:val="00CD5441"/>
    <w:rPr>
      <w:smallCaps/>
      <w:color w:val="C0504D"/>
      <w:u w:val="single"/>
    </w:rPr>
  </w:style>
  <w:style w:type="character" w:styleId="CommentReference">
    <w:name w:val="annotation reference"/>
    <w:basedOn w:val="DefaultParagraphFont"/>
    <w:uiPriority w:val="99"/>
    <w:semiHidden/>
    <w:unhideWhenUsed/>
    <w:rsid w:val="00AE4E01"/>
    <w:rPr>
      <w:sz w:val="16"/>
      <w:szCs w:val="16"/>
    </w:rPr>
  </w:style>
  <w:style w:type="paragraph" w:styleId="CommentText">
    <w:name w:val="annotation text"/>
    <w:basedOn w:val="Normal"/>
    <w:link w:val="CommentTextChar"/>
    <w:uiPriority w:val="99"/>
    <w:semiHidden/>
    <w:unhideWhenUsed/>
    <w:rsid w:val="00AE4E01"/>
  </w:style>
  <w:style w:type="character" w:customStyle="1" w:styleId="CommentTextChar">
    <w:name w:val="Comment Text Char"/>
    <w:basedOn w:val="DefaultParagraphFont"/>
    <w:link w:val="CommentText"/>
    <w:uiPriority w:val="99"/>
    <w:semiHidden/>
    <w:rsid w:val="00AE4E01"/>
    <w:rPr>
      <w:rFonts w:ascii="Century Gothic" w:hAnsi="Century Gothic"/>
    </w:rPr>
  </w:style>
  <w:style w:type="paragraph" w:styleId="CommentSubject">
    <w:name w:val="annotation subject"/>
    <w:basedOn w:val="CommentText"/>
    <w:next w:val="CommentText"/>
    <w:link w:val="CommentSubjectChar"/>
    <w:uiPriority w:val="99"/>
    <w:semiHidden/>
    <w:unhideWhenUsed/>
    <w:rsid w:val="00AE4E01"/>
    <w:rPr>
      <w:b/>
      <w:bCs/>
    </w:rPr>
  </w:style>
  <w:style w:type="character" w:customStyle="1" w:styleId="CommentSubjectChar">
    <w:name w:val="Comment Subject Char"/>
    <w:basedOn w:val="CommentTextChar"/>
    <w:link w:val="CommentSubject"/>
    <w:uiPriority w:val="99"/>
    <w:semiHidden/>
    <w:rsid w:val="00AE4E01"/>
    <w:rPr>
      <w:rFonts w:ascii="Century Gothic" w:hAnsi="Century Gothic"/>
      <w:b/>
      <w:bCs/>
    </w:rPr>
  </w:style>
  <w:style w:type="character" w:styleId="UnresolvedMention">
    <w:name w:val="Unresolved Mention"/>
    <w:basedOn w:val="DefaultParagraphFont"/>
    <w:uiPriority w:val="99"/>
    <w:semiHidden/>
    <w:unhideWhenUsed/>
    <w:rsid w:val="000526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247342">
      <w:bodyDiv w:val="1"/>
      <w:marLeft w:val="0"/>
      <w:marRight w:val="0"/>
      <w:marTop w:val="0"/>
      <w:marBottom w:val="0"/>
      <w:divBdr>
        <w:top w:val="none" w:sz="0" w:space="0" w:color="auto"/>
        <w:left w:val="none" w:sz="0" w:space="0" w:color="auto"/>
        <w:bottom w:val="none" w:sz="0" w:space="0" w:color="auto"/>
        <w:right w:val="none" w:sz="0" w:space="0" w:color="auto"/>
      </w:divBdr>
    </w:div>
    <w:div w:id="1628773327">
      <w:bodyDiv w:val="1"/>
      <w:marLeft w:val="0"/>
      <w:marRight w:val="0"/>
      <w:marTop w:val="0"/>
      <w:marBottom w:val="0"/>
      <w:divBdr>
        <w:top w:val="none" w:sz="0" w:space="0" w:color="auto"/>
        <w:left w:val="none" w:sz="0" w:space="0" w:color="auto"/>
        <w:bottom w:val="none" w:sz="0" w:space="0" w:color="auto"/>
        <w:right w:val="none" w:sz="0" w:space="0" w:color="auto"/>
      </w:divBdr>
    </w:div>
    <w:div w:id="18952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Orion Consulting</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CAMDR</dc:creator>
  <cp:lastModifiedBy>Amanda Farlinger</cp:lastModifiedBy>
  <cp:revision>7</cp:revision>
  <cp:lastPrinted>2016-05-04T15:10:00Z</cp:lastPrinted>
  <dcterms:created xsi:type="dcterms:W3CDTF">2024-03-04T22:12:00Z</dcterms:created>
  <dcterms:modified xsi:type="dcterms:W3CDTF">2026-05-07T22:16:00Z</dcterms:modified>
</cp:coreProperties>
</file>